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E5C" w:rsidRDefault="00966E5C" w:rsidP="003129DE">
      <w:pPr>
        <w:pStyle w:val="Heading1"/>
      </w:pPr>
      <w:r>
        <w:t xml:space="preserve">Změny v prostředí </w:t>
      </w:r>
      <w:r w:rsidR="003129DE">
        <w:t>V</w:t>
      </w:r>
      <w:r>
        <w:t>eřejného testu ISDS</w:t>
      </w:r>
    </w:p>
    <w:p w:rsidR="00966E5C" w:rsidRDefault="00966E5C" w:rsidP="00966E5C">
      <w:r>
        <w:t>V odstávce Veřejné</w:t>
      </w:r>
      <w:r w:rsidR="00804983">
        <w:t>ho</w:t>
      </w:r>
      <w:r>
        <w:t xml:space="preserve"> testu ISDS ve dnech 22.2. až 23.2.2018 </w:t>
      </w:r>
      <w:r w:rsidR="008D3CB4">
        <w:t>došlo</w:t>
      </w:r>
      <w:r>
        <w:t xml:space="preserve"> ke dvěma</w:t>
      </w:r>
      <w:r w:rsidR="00C13C24">
        <w:t xml:space="preserve"> významným změnám, které mohou </w:t>
      </w:r>
      <w:r>
        <w:t>mít dopad na spisové aplikace komunikující s ISDS pomocí rozhraní webových služeb.</w:t>
      </w:r>
    </w:p>
    <w:p w:rsidR="00573B9E" w:rsidRPr="00966E5C" w:rsidRDefault="00573B9E" w:rsidP="003129DE">
      <w:pPr>
        <w:pStyle w:val="Heading2"/>
      </w:pPr>
      <w:r>
        <w:t>Vypnutí TLS 1.0 a TLS 1.1</w:t>
      </w:r>
    </w:p>
    <w:p w:rsidR="000A2374" w:rsidRDefault="000A2374">
      <w:r>
        <w:t>Správce Informačního systému datových schránek vypne v roce 2018, v souladu se závěry bezpečn</w:t>
      </w:r>
      <w:r w:rsidR="00C13C24">
        <w:t xml:space="preserve">ostního auditu systému, starší </w:t>
      </w:r>
      <w:r>
        <w:t>a již bezpečnostně nevyhovující komunikační protokoly TLS 1.0 a TLS 1.1.</w:t>
      </w:r>
      <w:r w:rsidR="00046CEA">
        <w:t xml:space="preserve"> Ke stejnému kroku postupně přikročí i ostatní IS veřejné správy, pokud tak již dokonce neučinily.</w:t>
      </w:r>
    </w:p>
    <w:p w:rsidR="000A2374" w:rsidRPr="00122BC1" w:rsidRDefault="000A2374" w:rsidP="000A2374">
      <w:r w:rsidRPr="00122BC1">
        <w:t xml:space="preserve">Po tomto vypnutí bude možné používat </w:t>
      </w:r>
      <w:r>
        <w:t xml:space="preserve">pouze </w:t>
      </w:r>
      <w:r w:rsidRPr="00122BC1">
        <w:t>protokol TLS</w:t>
      </w:r>
      <w:r>
        <w:t> </w:t>
      </w:r>
      <w:r w:rsidRPr="00122BC1">
        <w:t xml:space="preserve">1.2. Protokol je již implementován </w:t>
      </w:r>
      <w:r>
        <w:t xml:space="preserve">ve </w:t>
      </w:r>
      <w:r w:rsidRPr="00122BC1">
        <w:t>v</w:t>
      </w:r>
      <w:r>
        <w:t>šech</w:t>
      </w:r>
      <w:r w:rsidRPr="00122BC1">
        <w:t xml:space="preserve"> aktuálních OS a </w:t>
      </w:r>
      <w:r>
        <w:t>p</w:t>
      </w:r>
      <w:r w:rsidRPr="00122BC1">
        <w:t>rohlížeč</w:t>
      </w:r>
      <w:r>
        <w:t>ích</w:t>
      </w:r>
      <w:r w:rsidRPr="00122BC1">
        <w:t>. Proto nepředpokládáme problémy uživatelů přistupující</w:t>
      </w:r>
      <w:r>
        <w:t>ch z podporovaných prohlížečů</w:t>
      </w:r>
      <w:r w:rsidRPr="00122BC1">
        <w:t xml:space="preserve"> na portály ISDS</w:t>
      </w:r>
      <w:r>
        <w:t xml:space="preserve"> (</w:t>
      </w:r>
      <w:r w:rsidRPr="00122BC1">
        <w:t xml:space="preserve">pokud </w:t>
      </w:r>
      <w:r>
        <w:t xml:space="preserve">uživatelé </w:t>
      </w:r>
      <w:r w:rsidRPr="00122BC1">
        <w:t>z nějakého důvodu nezměnil</w:t>
      </w:r>
      <w:r>
        <w:t>i</w:t>
      </w:r>
      <w:r w:rsidRPr="00122BC1">
        <w:t xml:space="preserve"> předdefinované nastavení</w:t>
      </w:r>
      <w:r>
        <w:t xml:space="preserve"> výrobců prohlížečů a/nebo OS)</w:t>
      </w:r>
      <w:r w:rsidRPr="00122BC1">
        <w:t>.</w:t>
      </w:r>
      <w:r>
        <w:t xml:space="preserve"> </w:t>
      </w:r>
      <w:r w:rsidRPr="00122BC1">
        <w:t xml:space="preserve">Domníváme se však, že </w:t>
      </w:r>
      <w:r>
        <w:t xml:space="preserve">některé </w:t>
      </w:r>
      <w:r w:rsidRPr="00122BC1">
        <w:t>aplikace spisových služeb se na tuto změnu budou muset připravit.</w:t>
      </w:r>
      <w:r w:rsidRPr="00F74ECA">
        <w:rPr>
          <w:rFonts w:ascii="Arial" w:hAnsi="Arial" w:cs="Arial"/>
          <w:color w:val="500050"/>
          <w:sz w:val="19"/>
          <w:szCs w:val="19"/>
          <w:shd w:val="clear" w:color="auto" w:fill="FFFFFF"/>
        </w:rPr>
        <w:t xml:space="preserve"> </w:t>
      </w:r>
    </w:p>
    <w:p w:rsidR="000A2374" w:rsidRPr="00122BC1" w:rsidRDefault="000A2374" w:rsidP="000A2374">
      <w:r w:rsidRPr="00122BC1">
        <w:t xml:space="preserve">Kromě vypnutí protokolů </w:t>
      </w:r>
      <w:r>
        <w:t>budou</w:t>
      </w:r>
      <w:r w:rsidRPr="00122BC1">
        <w:t xml:space="preserve"> zakáz</w:t>
      </w:r>
      <w:r>
        <w:t>ány</w:t>
      </w:r>
      <w:r w:rsidRPr="00122BC1">
        <w:t xml:space="preserve"> i </w:t>
      </w:r>
      <w:r>
        <w:t>bezpečnostně již nevyhovující šifrovací sady</w:t>
      </w:r>
      <w:r w:rsidRPr="00122BC1">
        <w:t>:</w:t>
      </w:r>
    </w:p>
    <w:p w:rsidR="000A2374" w:rsidRPr="00122BC1" w:rsidRDefault="000A2374" w:rsidP="000A2374">
      <w:pPr>
        <w:pStyle w:val="ListParagraph"/>
        <w:numPr>
          <w:ilvl w:val="0"/>
          <w:numId w:val="1"/>
        </w:numPr>
      </w:pPr>
      <w:r w:rsidRPr="00122BC1">
        <w:t xml:space="preserve">TLS_RSA_WITH_3DES_EDE_CBC_SHA </w:t>
      </w:r>
    </w:p>
    <w:p w:rsidR="000A2374" w:rsidRPr="00122BC1" w:rsidRDefault="000A2374" w:rsidP="000A2374">
      <w:pPr>
        <w:pStyle w:val="ListParagraph"/>
        <w:numPr>
          <w:ilvl w:val="0"/>
          <w:numId w:val="1"/>
        </w:numPr>
      </w:pPr>
      <w:r w:rsidRPr="00122BC1">
        <w:t>TLS_DHE_RSA_WITH_3DES_EDE_CBC_SHA</w:t>
      </w:r>
    </w:p>
    <w:p w:rsidR="000A2374" w:rsidRDefault="000A2374">
      <w:r w:rsidRPr="000A2374">
        <w:t xml:space="preserve">Nadále </w:t>
      </w:r>
      <w:r>
        <w:t>půjde používat šifrovací sady: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 w:rsidRPr="000A2374">
        <w:t>TLS_ECDHE_RSA_WITH_AES_128_GCM_SHA256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 w:rsidRPr="000A2374">
        <w:t xml:space="preserve">TLS_ECDHE_RSA_WITH_AES_256_GCM_SHA384 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 w:rsidRPr="000A2374">
        <w:t xml:space="preserve"> TLS_ECDHE_RSA_WITH_AES_128_CBC_SHA 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 w:rsidRPr="000A2374">
        <w:t xml:space="preserve">TLS_ECDHE_RSA_WITH_AES_256_CBC_SHA 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 w:rsidRPr="000A2374">
        <w:t xml:space="preserve">TLS_ECDHE_RSA_WITH_AES_128_CBC_SHA256 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 w:rsidRPr="000A2374">
        <w:t xml:space="preserve">TLS_ECDHE_RSA_WITH_AES_256_CBC_SHA384 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 w:rsidRPr="000A2374">
        <w:t xml:space="preserve">TLS_DHE_RSA_WITH_AES_128_GCM_SHA256 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 w:rsidRPr="000A2374">
        <w:t xml:space="preserve">TLS_DHE_RSA_WITH_AES_256_GCM_SHA384 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 w:rsidRPr="000A2374">
        <w:t xml:space="preserve">TLS_DHE_RSA_WITH_AES_128_CBC_SHA 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 w:rsidRPr="000A2374">
        <w:t xml:space="preserve">TLS_DHE_RSA_WITH_AES_256_CBC_SHA 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 w:rsidRPr="000A2374">
        <w:t xml:space="preserve">TLS_DHE_RSA_WITH_AES_128_CBC_SHA256 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 w:rsidRPr="000A2374">
        <w:t xml:space="preserve">TLS_DHE_RSA_WITH_AES_256_CBC_SHA256 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>
        <w:t>T</w:t>
      </w:r>
      <w:r w:rsidRPr="000A2374">
        <w:t xml:space="preserve">LS_RSA_WITH_AES_128_CBC_SHA </w:t>
      </w:r>
    </w:p>
    <w:p w:rsidR="000A2374" w:rsidRDefault="000A2374" w:rsidP="000A2374">
      <w:pPr>
        <w:pStyle w:val="ListParagraph"/>
        <w:numPr>
          <w:ilvl w:val="0"/>
          <w:numId w:val="2"/>
        </w:numPr>
      </w:pPr>
      <w:r w:rsidRPr="000A2374">
        <w:t xml:space="preserve">TLS_RSA_WITH_AES_256_CBC_SHA </w:t>
      </w:r>
    </w:p>
    <w:p w:rsidR="0015178A" w:rsidRDefault="0015178A" w:rsidP="00573B9E"/>
    <w:p w:rsidR="000A2374" w:rsidRDefault="0015178A" w:rsidP="003129DE">
      <w:pPr>
        <w:pStyle w:val="Heading3"/>
      </w:pPr>
      <w:r>
        <w:t>Dopad na uživatele klientské</w:t>
      </w:r>
      <w:r w:rsidR="00804983">
        <w:t>ho</w:t>
      </w:r>
      <w:r>
        <w:t xml:space="preserve"> Portálu ISDS</w:t>
      </w:r>
    </w:p>
    <w:p w:rsidR="0015178A" w:rsidRDefault="0015178A" w:rsidP="0015178A">
      <w:r>
        <w:t>Uživatelé ISDS, kteří přistupují do své schránky pomocí podporovaných internetových prohlížečů, změnu nezaznamenají.</w:t>
      </w:r>
    </w:p>
    <w:p w:rsidR="0015178A" w:rsidRDefault="0015178A" w:rsidP="003129DE">
      <w:pPr>
        <w:pStyle w:val="Heading3"/>
      </w:pPr>
      <w:r>
        <w:t xml:space="preserve">Dopad na </w:t>
      </w:r>
      <w:r w:rsidR="00046CEA">
        <w:t>externí aplikace</w:t>
      </w:r>
    </w:p>
    <w:p w:rsidR="00046CEA" w:rsidRDefault="00966E5C" w:rsidP="00046CEA">
      <w:r>
        <w:t xml:space="preserve">Pokud aplikace používají k připojování </w:t>
      </w:r>
      <w:r w:rsidR="00804983">
        <w:t>k </w:t>
      </w:r>
      <w:r>
        <w:t>s</w:t>
      </w:r>
      <w:r w:rsidR="00804983">
        <w:t>ystému</w:t>
      </w:r>
      <w:r>
        <w:t xml:space="preserve"> ISDS aktuální a výrobci podporované programovací balíky, nezaznamenají pravděpodobně žádný problém. Do ISDS však stále přichází značné množství požadavků, které budou po uvedených změnách odmítány. Proto je rozumné svoji aplikaci </w:t>
      </w:r>
      <w:r>
        <w:lastRenderedPageBreak/>
        <w:t>zkontrolovat a vyzkoušet v prostředí Veřejného testu ISDS do doby, než budou změny zapnuty i na produkčním prostředí.</w:t>
      </w:r>
    </w:p>
    <w:p w:rsidR="00966E5C" w:rsidRPr="00966E5C" w:rsidRDefault="00966E5C" w:rsidP="00966E5C">
      <w:r w:rsidRPr="00966E5C">
        <w:rPr>
          <w:b/>
          <w:bCs/>
        </w:rPr>
        <w:t>Podpora aplikační architektury pro TLS 1.2:</w:t>
      </w:r>
    </w:p>
    <w:p w:rsidR="00966E5C" w:rsidRPr="00966E5C" w:rsidRDefault="00966E5C" w:rsidP="003129DE">
      <w:pPr>
        <w:numPr>
          <w:ilvl w:val="0"/>
          <w:numId w:val="3"/>
        </w:numPr>
        <w:spacing w:after="0"/>
        <w:ind w:left="714" w:hanging="357"/>
      </w:pPr>
      <w:r w:rsidRPr="00966E5C">
        <w:t xml:space="preserve">Java: </w:t>
      </w:r>
      <w:r>
        <w:t xml:space="preserve">doporučujeme </w:t>
      </w:r>
      <w:r w:rsidRPr="00966E5C">
        <w:t>použív</w:t>
      </w:r>
      <w:r>
        <w:t>at</w:t>
      </w:r>
      <w:r w:rsidRPr="00966E5C">
        <w:t xml:space="preserve"> Java </w:t>
      </w:r>
      <w:r>
        <w:t xml:space="preserve">verze </w:t>
      </w:r>
      <w:r w:rsidRPr="00966E5C">
        <w:t xml:space="preserve">8. Lze používat </w:t>
      </w:r>
      <w:r>
        <w:t xml:space="preserve">verzi Java 7, ale aplikace musí </w:t>
      </w:r>
      <w:r w:rsidRPr="00966E5C">
        <w:t>protokol TLS</w:t>
      </w:r>
      <w:r>
        <w:t xml:space="preserve"> </w:t>
      </w:r>
      <w:r w:rsidRPr="00966E5C">
        <w:t>1.2</w:t>
      </w:r>
      <w:r>
        <w:t xml:space="preserve"> </w:t>
      </w:r>
      <w:r w:rsidRPr="00966E5C">
        <w:t>explicitně povolit</w:t>
      </w:r>
    </w:p>
    <w:p w:rsidR="00966E5C" w:rsidRPr="00966E5C" w:rsidRDefault="00966E5C" w:rsidP="003129DE">
      <w:pPr>
        <w:numPr>
          <w:ilvl w:val="0"/>
          <w:numId w:val="3"/>
        </w:numPr>
        <w:spacing w:after="0"/>
        <w:ind w:left="714" w:hanging="357"/>
      </w:pPr>
      <w:r w:rsidRPr="00966E5C">
        <w:t xml:space="preserve">Prostředí .NET: používejte .NET </w:t>
      </w:r>
      <w:r>
        <w:t xml:space="preserve">verze </w:t>
      </w:r>
      <w:r w:rsidRPr="00966E5C">
        <w:t>4.6 nebo novější. Lze používat verzi .NET 4.5, ale aplikace musí protokol TLS</w:t>
      </w:r>
      <w:r>
        <w:t xml:space="preserve"> </w:t>
      </w:r>
      <w:r w:rsidRPr="00966E5C">
        <w:t>1.2</w:t>
      </w:r>
      <w:r>
        <w:t xml:space="preserve"> </w:t>
      </w:r>
      <w:r w:rsidRPr="00966E5C">
        <w:t>explicitně povolit. Podpora prostředí .NET závisí na podpoře protokolu TLS 1.2 systémem Windows (</w:t>
      </w:r>
      <w:r w:rsidR="00C13C24">
        <w:t>od</w:t>
      </w:r>
      <w:r w:rsidRPr="00966E5C">
        <w:t> Windows Server 2008 R2 </w:t>
      </w:r>
      <w:r>
        <w:t>nebo Windows 8</w:t>
      </w:r>
      <w:r w:rsidRPr="00966E5C">
        <w:t>)</w:t>
      </w:r>
    </w:p>
    <w:p w:rsidR="00966E5C" w:rsidRDefault="00966E5C" w:rsidP="003129DE">
      <w:pPr>
        <w:numPr>
          <w:ilvl w:val="0"/>
          <w:numId w:val="3"/>
        </w:numPr>
        <w:spacing w:after="0"/>
        <w:ind w:left="714" w:hanging="357"/>
      </w:pPr>
      <w:r w:rsidRPr="00966E5C">
        <w:t xml:space="preserve">Aplikace používající </w:t>
      </w:r>
      <w:proofErr w:type="spellStart"/>
      <w:r w:rsidRPr="00966E5C">
        <w:t>OpenSSL</w:t>
      </w:r>
      <w:proofErr w:type="spellEnd"/>
      <w:r w:rsidRPr="00966E5C">
        <w:t xml:space="preserve">: používejte </w:t>
      </w:r>
      <w:proofErr w:type="spellStart"/>
      <w:r w:rsidRPr="00966E5C">
        <w:t>OpenSSL</w:t>
      </w:r>
      <w:proofErr w:type="spellEnd"/>
      <w:r w:rsidRPr="00966E5C">
        <w:t xml:space="preserve"> 1.0</w:t>
      </w:r>
      <w:r w:rsidR="00804983">
        <w:t>.</w:t>
      </w:r>
      <w:r w:rsidRPr="00966E5C">
        <w:t>1 nebo novější</w:t>
      </w:r>
    </w:p>
    <w:p w:rsidR="003129DE" w:rsidRDefault="003129DE" w:rsidP="003129DE">
      <w:pPr>
        <w:pStyle w:val="Heading3"/>
      </w:pPr>
      <w:r>
        <w:t>Harmonogram nasazování změny</w:t>
      </w:r>
    </w:p>
    <w:p w:rsidR="003129DE" w:rsidRDefault="003129DE" w:rsidP="003129DE">
      <w:r>
        <w:t xml:space="preserve">Prostředí Veřejného testu ISDS:  </w:t>
      </w:r>
      <w:r w:rsidRPr="003129DE">
        <w:rPr>
          <w:b/>
        </w:rPr>
        <w:t>23.2.2018</w:t>
      </w:r>
    </w:p>
    <w:p w:rsidR="003129DE" w:rsidRDefault="003129DE" w:rsidP="003129DE">
      <w:r>
        <w:t xml:space="preserve">Produkční prostředí ISDS: termín bude sdělen později, </w:t>
      </w:r>
      <w:r w:rsidRPr="003129DE">
        <w:rPr>
          <w:b/>
        </w:rPr>
        <w:t>předpoklad léto 2018</w:t>
      </w:r>
      <w:r>
        <w:t>.</w:t>
      </w:r>
    </w:p>
    <w:p w:rsidR="003129DE" w:rsidRPr="003129DE" w:rsidRDefault="003129DE" w:rsidP="003129DE"/>
    <w:p w:rsidR="00966E5C" w:rsidRDefault="00573B9E" w:rsidP="003129DE">
      <w:pPr>
        <w:pStyle w:val="Heading2"/>
      </w:pPr>
      <w:r>
        <w:t xml:space="preserve">Změna IP adres </w:t>
      </w:r>
    </w:p>
    <w:p w:rsidR="00573B9E" w:rsidRPr="00573B9E" w:rsidRDefault="00573B9E" w:rsidP="00573B9E">
      <w:r>
        <w:t>IP adresy přístupových bodů ISDS se v odstávce změní podle následující tabulky: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3071"/>
      </w:tblGrid>
      <w:tr w:rsidR="00573B9E" w:rsidRPr="00573B9E" w:rsidTr="00573B9E">
        <w:tc>
          <w:tcPr>
            <w:tcW w:w="2093" w:type="dxa"/>
            <w:shd w:val="clear" w:color="auto" w:fill="D9D9D9" w:themeFill="background1" w:themeFillShade="D9"/>
          </w:tcPr>
          <w:p w:rsidR="00573B9E" w:rsidRPr="00573B9E" w:rsidRDefault="00804983" w:rsidP="00E522BC">
            <w:pPr>
              <w:rPr>
                <w:b/>
              </w:rPr>
            </w:pPr>
            <w:proofErr w:type="spellStart"/>
            <w:r>
              <w:rPr>
                <w:b/>
              </w:rPr>
              <w:t>hostname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p w:rsidR="00573B9E" w:rsidRPr="00573B9E" w:rsidRDefault="00573B9E" w:rsidP="00573B9E">
            <w:pPr>
              <w:rPr>
                <w:b/>
              </w:rPr>
            </w:pPr>
            <w:r w:rsidRPr="00573B9E">
              <w:rPr>
                <w:b/>
              </w:rPr>
              <w:t>IPv4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573B9E" w:rsidRPr="00573B9E" w:rsidRDefault="00573B9E" w:rsidP="00E522BC">
            <w:pPr>
              <w:rPr>
                <w:b/>
              </w:rPr>
            </w:pPr>
            <w:r w:rsidRPr="00573B9E">
              <w:rPr>
                <w:b/>
              </w:rPr>
              <w:t>IPv6</w:t>
            </w:r>
          </w:p>
        </w:tc>
      </w:tr>
      <w:tr w:rsidR="00573B9E" w:rsidRPr="00573B9E" w:rsidTr="00573B9E">
        <w:tc>
          <w:tcPr>
            <w:tcW w:w="2093" w:type="dxa"/>
          </w:tcPr>
          <w:p w:rsidR="00573B9E" w:rsidRPr="00573B9E" w:rsidRDefault="00573B9E" w:rsidP="00E522BC">
            <w:r w:rsidRPr="00573B9E">
              <w:t>ws1.czebox.cz</w:t>
            </w:r>
          </w:p>
        </w:tc>
        <w:tc>
          <w:tcPr>
            <w:tcW w:w="2126" w:type="dxa"/>
          </w:tcPr>
          <w:p w:rsidR="00573B9E" w:rsidRPr="00573B9E" w:rsidRDefault="00573B9E" w:rsidP="00E522BC">
            <w:r w:rsidRPr="00573B9E">
              <w:t>90.182.206.214</w:t>
            </w:r>
          </w:p>
        </w:tc>
        <w:tc>
          <w:tcPr>
            <w:tcW w:w="3071" w:type="dxa"/>
          </w:tcPr>
          <w:p w:rsidR="00573B9E" w:rsidRPr="00573B9E" w:rsidRDefault="00573B9E" w:rsidP="00E522BC">
            <w:r w:rsidRPr="00573B9E">
              <w:t>2a</w:t>
            </w:r>
            <w:proofErr w:type="gramStart"/>
            <w:r w:rsidRPr="00573B9E">
              <w:t>00:1028:d</w:t>
            </w:r>
            <w:proofErr w:type="gramEnd"/>
            <w:r w:rsidRPr="00573B9E">
              <w:t>:122:1:0:3:16</w:t>
            </w:r>
          </w:p>
        </w:tc>
      </w:tr>
      <w:tr w:rsidR="00573B9E" w:rsidRPr="00573B9E" w:rsidTr="00573B9E">
        <w:tc>
          <w:tcPr>
            <w:tcW w:w="2093" w:type="dxa"/>
          </w:tcPr>
          <w:p w:rsidR="00573B9E" w:rsidRPr="00573B9E" w:rsidRDefault="00573B9E" w:rsidP="00E522BC">
            <w:r w:rsidRPr="00573B9E">
              <w:t>ws1c.czebox.cz</w:t>
            </w:r>
          </w:p>
        </w:tc>
        <w:tc>
          <w:tcPr>
            <w:tcW w:w="2126" w:type="dxa"/>
          </w:tcPr>
          <w:p w:rsidR="00573B9E" w:rsidRPr="00573B9E" w:rsidRDefault="00573B9E" w:rsidP="00E522BC">
            <w:r w:rsidRPr="00573B9E">
              <w:t>90.182.206.215</w:t>
            </w:r>
          </w:p>
        </w:tc>
        <w:tc>
          <w:tcPr>
            <w:tcW w:w="3071" w:type="dxa"/>
          </w:tcPr>
          <w:p w:rsidR="00573B9E" w:rsidRPr="00573B9E" w:rsidRDefault="00573B9E" w:rsidP="00E522BC">
            <w:r w:rsidRPr="00573B9E">
              <w:t>2a</w:t>
            </w:r>
            <w:proofErr w:type="gramStart"/>
            <w:r w:rsidRPr="00573B9E">
              <w:t>00:1028:d</w:t>
            </w:r>
            <w:proofErr w:type="gramEnd"/>
            <w:r w:rsidRPr="00573B9E">
              <w:t>:122:1:0:4:16</w:t>
            </w:r>
          </w:p>
        </w:tc>
      </w:tr>
      <w:tr w:rsidR="00573B9E" w:rsidRPr="00573B9E" w:rsidTr="00573B9E">
        <w:tc>
          <w:tcPr>
            <w:tcW w:w="2093" w:type="dxa"/>
          </w:tcPr>
          <w:p w:rsidR="00573B9E" w:rsidRPr="00573B9E" w:rsidRDefault="00573B9E" w:rsidP="00E522BC">
            <w:r w:rsidRPr="00573B9E">
              <w:t>cert.czebox.cz</w:t>
            </w:r>
          </w:p>
        </w:tc>
        <w:tc>
          <w:tcPr>
            <w:tcW w:w="2126" w:type="dxa"/>
          </w:tcPr>
          <w:p w:rsidR="00573B9E" w:rsidRPr="00573B9E" w:rsidRDefault="00573B9E" w:rsidP="00E522BC">
            <w:r w:rsidRPr="00573B9E">
              <w:t>90.182.206.213</w:t>
            </w:r>
          </w:p>
        </w:tc>
        <w:tc>
          <w:tcPr>
            <w:tcW w:w="3071" w:type="dxa"/>
          </w:tcPr>
          <w:p w:rsidR="00573B9E" w:rsidRPr="00573B9E" w:rsidRDefault="00573B9E" w:rsidP="00E522BC">
            <w:r w:rsidRPr="00573B9E">
              <w:t>2a</w:t>
            </w:r>
            <w:proofErr w:type="gramStart"/>
            <w:r w:rsidRPr="00573B9E">
              <w:t>00:1028:d</w:t>
            </w:r>
            <w:proofErr w:type="gramEnd"/>
            <w:r w:rsidRPr="00573B9E">
              <w:t>:122:1:0:2:16</w:t>
            </w:r>
          </w:p>
        </w:tc>
      </w:tr>
      <w:tr w:rsidR="00573B9E" w:rsidRPr="00573B9E" w:rsidTr="00573B9E">
        <w:tc>
          <w:tcPr>
            <w:tcW w:w="2093" w:type="dxa"/>
          </w:tcPr>
          <w:p w:rsidR="00573B9E" w:rsidRPr="00573B9E" w:rsidRDefault="00573B9E" w:rsidP="00E522BC">
            <w:r w:rsidRPr="00573B9E">
              <w:t>www.czebox.cz</w:t>
            </w:r>
          </w:p>
        </w:tc>
        <w:tc>
          <w:tcPr>
            <w:tcW w:w="2126" w:type="dxa"/>
          </w:tcPr>
          <w:p w:rsidR="00573B9E" w:rsidRPr="00573B9E" w:rsidRDefault="00573B9E" w:rsidP="00E522BC">
            <w:r w:rsidRPr="00573B9E">
              <w:t>90.182.206.212</w:t>
            </w:r>
          </w:p>
        </w:tc>
        <w:tc>
          <w:tcPr>
            <w:tcW w:w="3071" w:type="dxa"/>
          </w:tcPr>
          <w:p w:rsidR="00573B9E" w:rsidRPr="00573B9E" w:rsidRDefault="00573B9E" w:rsidP="00E522BC">
            <w:r w:rsidRPr="00573B9E">
              <w:t>2a</w:t>
            </w:r>
            <w:proofErr w:type="gramStart"/>
            <w:r w:rsidRPr="00573B9E">
              <w:t>00:1028:d</w:t>
            </w:r>
            <w:proofErr w:type="gramEnd"/>
            <w:r w:rsidRPr="00573B9E">
              <w:t>:122:1:0:1:16</w:t>
            </w:r>
          </w:p>
        </w:tc>
      </w:tr>
    </w:tbl>
    <w:p w:rsidR="00966E5C" w:rsidRDefault="00966E5C" w:rsidP="00573B9E"/>
    <w:p w:rsidR="00573B9E" w:rsidRDefault="00573B9E" w:rsidP="00573B9E">
      <w:r>
        <w:t>Pokud aplikace použí</w:t>
      </w:r>
      <w:r w:rsidR="00C13C24">
        <w:t xml:space="preserve">vá k přístupu přímo IP adresy, </w:t>
      </w:r>
      <w:r>
        <w:t xml:space="preserve">musí je ve své konfiguraci změnit. Na původních adresách se bude </w:t>
      </w:r>
      <w:r w:rsidR="00613F71">
        <w:t xml:space="preserve">dočasně </w:t>
      </w:r>
      <w:r>
        <w:t>vracet HTTP chyba 503.</w:t>
      </w:r>
    </w:p>
    <w:p w:rsidR="00573B9E" w:rsidRDefault="00573B9E" w:rsidP="00573B9E"/>
    <w:p w:rsidR="00573B9E" w:rsidRPr="00046CEA" w:rsidRDefault="00573B9E" w:rsidP="00573B9E">
      <w:bookmarkStart w:id="0" w:name="_GoBack"/>
      <w:bookmarkEnd w:id="0"/>
    </w:p>
    <w:sectPr w:rsidR="00573B9E" w:rsidRPr="00046CEA" w:rsidSect="0007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74C04"/>
    <w:multiLevelType w:val="multilevel"/>
    <w:tmpl w:val="0405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765226"/>
    <w:multiLevelType w:val="multilevel"/>
    <w:tmpl w:val="80C6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9626C"/>
    <w:multiLevelType w:val="hybridMultilevel"/>
    <w:tmpl w:val="1200E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20051"/>
    <w:multiLevelType w:val="hybridMultilevel"/>
    <w:tmpl w:val="B01EE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74"/>
    <w:rsid w:val="00046CEA"/>
    <w:rsid w:val="000773C0"/>
    <w:rsid w:val="000A2374"/>
    <w:rsid w:val="0015178A"/>
    <w:rsid w:val="003129DE"/>
    <w:rsid w:val="00573B9E"/>
    <w:rsid w:val="00613F71"/>
    <w:rsid w:val="00804983"/>
    <w:rsid w:val="00833501"/>
    <w:rsid w:val="008B364E"/>
    <w:rsid w:val="008D3CB4"/>
    <w:rsid w:val="00966E5C"/>
    <w:rsid w:val="009672E8"/>
    <w:rsid w:val="00C1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9BE50"/>
  <w15:docId w15:val="{DBDFBC5D-B082-F846-9CC8-A5E7C5D8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3C0"/>
  </w:style>
  <w:style w:type="paragraph" w:styleId="Heading1">
    <w:name w:val="heading 1"/>
    <w:basedOn w:val="Normal"/>
    <w:next w:val="Normal"/>
    <w:link w:val="Heading1Char"/>
    <w:uiPriority w:val="9"/>
    <w:qFormat/>
    <w:rsid w:val="00966E5C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78A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9DE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9DE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9DE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9DE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9DE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9DE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9DE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374"/>
    <w:pPr>
      <w:spacing w:line="240" w:lineRule="auto"/>
      <w:ind w:left="720"/>
      <w:contextualSpacing/>
      <w:jc w:val="both"/>
    </w:pPr>
    <w:rPr>
      <w:rFonts w:ascii="Calibri" w:eastAsiaTheme="minorEastAsia" w:hAnsi="Calibri" w:cs="Times New Roman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51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17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6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73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3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73B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9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9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9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Pavel Tesař</cp:lastModifiedBy>
  <cp:revision>3</cp:revision>
  <dcterms:created xsi:type="dcterms:W3CDTF">2018-02-19T10:31:00Z</dcterms:created>
  <dcterms:modified xsi:type="dcterms:W3CDTF">2018-02-23T09:34:00Z</dcterms:modified>
</cp:coreProperties>
</file>